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BA" w:rsidRDefault="001E37BA" w:rsidP="00002EAC">
      <w:pPr>
        <w:shd w:val="clear" w:color="auto" w:fill="F3F3F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3623C"/>
          <w:kern w:val="36"/>
          <w:sz w:val="23"/>
          <w:szCs w:val="23"/>
          <w:lang w:eastAsia="ru-RU"/>
        </w:rPr>
      </w:pPr>
    </w:p>
    <w:p w:rsidR="001E37BA" w:rsidRDefault="001E37BA" w:rsidP="001E37BA">
      <w:pPr>
        <w:shd w:val="clear" w:color="auto" w:fill="F3F3F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3623C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3623C"/>
          <w:kern w:val="36"/>
          <w:sz w:val="23"/>
          <w:szCs w:val="23"/>
          <w:lang w:eastAsia="ru-RU"/>
        </w:rPr>
        <w:drawing>
          <wp:inline distT="0" distB="0" distL="0" distR="0">
            <wp:extent cx="2385060" cy="2048510"/>
            <wp:effectExtent l="19050" t="0" r="0" b="0"/>
            <wp:docPr id="2" name="Рисунок 2" descr="C:\Users\Ноткина\Desktop\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ткина\Desktop\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BA" w:rsidRDefault="001E37BA" w:rsidP="00002EAC">
      <w:pPr>
        <w:shd w:val="clear" w:color="auto" w:fill="F3F3F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3623C"/>
          <w:kern w:val="36"/>
          <w:sz w:val="23"/>
          <w:szCs w:val="23"/>
          <w:lang w:eastAsia="ru-RU"/>
        </w:rPr>
      </w:pPr>
    </w:p>
    <w:p w:rsidR="001E37BA" w:rsidRDefault="001E37BA" w:rsidP="00002EAC">
      <w:pPr>
        <w:shd w:val="clear" w:color="auto" w:fill="F3F3F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3623C"/>
          <w:kern w:val="36"/>
          <w:sz w:val="23"/>
          <w:szCs w:val="23"/>
          <w:lang w:eastAsia="ru-RU"/>
        </w:rPr>
      </w:pPr>
    </w:p>
    <w:p w:rsidR="00002EAC" w:rsidRPr="00002EAC" w:rsidRDefault="00002EAC" w:rsidP="00002EAC">
      <w:pPr>
        <w:shd w:val="clear" w:color="auto" w:fill="F3F3F1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3623C"/>
          <w:kern w:val="36"/>
          <w:sz w:val="23"/>
          <w:szCs w:val="23"/>
          <w:lang w:eastAsia="ru-RU"/>
        </w:rPr>
      </w:pPr>
      <w:hyperlink r:id="rId5" w:history="1">
        <w:r w:rsidRPr="00002EAC">
          <w:rPr>
            <w:rFonts w:ascii="Arial" w:eastAsia="Times New Roman" w:hAnsi="Arial" w:cs="Arial"/>
            <w:b/>
            <w:bCs/>
            <w:color w:val="53623C"/>
            <w:kern w:val="36"/>
            <w:sz w:val="23"/>
            <w:lang w:eastAsia="ru-RU"/>
          </w:rPr>
          <w:t>Приём на целевое обучение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152" w:lineRule="atLeast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ГГТУ проводит прием на целевое </w:t>
      </w:r>
      <w:proofErr w:type="gram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обучение по</w:t>
      </w:r>
      <w:proofErr w:type="gram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 образовательным программам высшего образования в пределах целевой квоты, установленной Правительством Московской области, по направлениям подготовки: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ind w:left="45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44.03.01 Педагогическое образование,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ind w:left="45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44.03.05 Педагогическое образование (с двумя профилями),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ind w:left="45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44.03.02 Психолого-педагогическое образование,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ind w:left="45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44.03.03 Специальное (дефектологическое) образование.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ind w:left="45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44.04.01 Педагогическое образование (уровень магистратуры)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proofErr w:type="gram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Прием на целевое обучение осуществляется при наличии договора о целевом обучении, заключенного между поступающим и заказчиком целевого обучения в соответствии с положением о целевом обучении и типовой формой договора о целевом обучении, установленными постановлением Правительства Российской Федерации от 13 октября 2020 г. №1681 «О целевом обучении по образовательным программам среднего профессионального и высшего образования».</w:t>
      </w:r>
      <w:proofErr w:type="gramEnd"/>
    </w:p>
    <w:p w:rsidR="00002EAC" w:rsidRPr="00002EAC" w:rsidRDefault="00002EAC" w:rsidP="00002EAC">
      <w:pPr>
        <w:shd w:val="clear" w:color="auto" w:fill="F3F3F1"/>
        <w:spacing w:before="120" w:after="120" w:line="240" w:lineRule="auto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b/>
          <w:bCs/>
          <w:color w:val="252621"/>
          <w:sz w:val="24"/>
          <w:szCs w:val="24"/>
          <w:lang w:eastAsia="ru-RU"/>
        </w:rPr>
        <w:t>Преимущества целевого обучения для абитуриента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гарантированное трудоустройство по окончании обучения,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возможность получения мер социальной поддержки (дополнительных денежных выплат, оплаты проезда, найма жилья и др.),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отдельный конкурс на бюджетные места,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зачисление на целевые места до зачисления абитуриентов на основные бюджетные места,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возможность в случае 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непоступления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 на целевые места участвовать в общем конкурсе на основные бюджетные места.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b/>
          <w:bCs/>
          <w:color w:val="252621"/>
          <w:sz w:val="24"/>
          <w:szCs w:val="24"/>
          <w:lang w:eastAsia="ru-RU"/>
        </w:rPr>
        <w:t>Алгоритм поступления на целевое обучение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1. Ознакомиться с условиями приема на целевое обучение.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2. Определиться с направлением и профилем подготовки.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lastRenderedPageBreak/>
        <w:t>3. Найти организацию (управление образования, школа, детский сад, организация дополнительного образования и др.), которая готова заключить договор о целевом обучении и после окончания вуза принять на работу.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4. Оформить проект договора в электронном виде в соответствии с типовой формой договора о целевом обучении.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5. Прислать проект договора на проверку в отдел 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профориентационной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 работы и трудоустройства на адрес электронной почты </w:t>
      </w:r>
      <w:hyperlink r:id="rId6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perspektiva@ggtu.ru</w:t>
        </w:r>
      </w:hyperlink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6. После проверки заключить договор о целевом обучении.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7. В период приемной кампании подать в приемную комиссию ГГТУ заявление о приеме, необходимые документы и договор о целевом обучении.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8. До дня завершения приема заявлений о согласии на зачисление подать в приемную комиссию ГГТУ заявление о согласии на зачисление на целевое обучение и оригинал документа об образовании.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60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9. Ознакомиться с приказом о зачислении.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7" w:history="1">
        <w:r w:rsidRPr="00002EAC">
          <w:rPr>
            <w:rFonts w:ascii="Arial" w:eastAsia="Times New Roman" w:hAnsi="Arial" w:cs="Arial"/>
            <w:b/>
            <w:bCs/>
            <w:color w:val="0E470B"/>
            <w:sz w:val="24"/>
            <w:szCs w:val="24"/>
            <w:u w:val="single"/>
            <w:lang w:eastAsia="ru-RU"/>
          </w:rPr>
          <w:t>Информация о сроках проведения приема в 2021 году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240" w:lineRule="auto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8" w:tgtFrame="_blank" w:history="1">
        <w:r w:rsidRPr="00002EAC">
          <w:rPr>
            <w:rFonts w:ascii="Arial" w:eastAsia="Times New Roman" w:hAnsi="Arial" w:cs="Arial"/>
            <w:b/>
            <w:bCs/>
            <w:color w:val="0E470B"/>
            <w:sz w:val="24"/>
            <w:szCs w:val="24"/>
            <w:u w:val="single"/>
            <w:lang w:eastAsia="ru-RU"/>
          </w:rPr>
          <w:t xml:space="preserve">Запись </w:t>
        </w:r>
        <w:proofErr w:type="spellStart"/>
        <w:r w:rsidRPr="00002EAC">
          <w:rPr>
            <w:rFonts w:ascii="Arial" w:eastAsia="Times New Roman" w:hAnsi="Arial" w:cs="Arial"/>
            <w:b/>
            <w:bCs/>
            <w:color w:val="0E470B"/>
            <w:sz w:val="24"/>
            <w:szCs w:val="24"/>
            <w:u w:val="single"/>
            <w:lang w:eastAsia="ru-RU"/>
          </w:rPr>
          <w:t>вебинара</w:t>
        </w:r>
        <w:proofErr w:type="spellEnd"/>
        <w:r w:rsidRPr="00002EAC">
          <w:rPr>
            <w:rFonts w:ascii="Arial" w:eastAsia="Times New Roman" w:hAnsi="Arial" w:cs="Arial"/>
            <w:b/>
            <w:bCs/>
            <w:color w:val="0E470B"/>
            <w:sz w:val="24"/>
            <w:szCs w:val="24"/>
            <w:u w:val="single"/>
            <w:lang w:eastAsia="ru-RU"/>
          </w:rPr>
          <w:t xml:space="preserve"> «Прием на целевое обучение в 2021 году» от 12.03.2021 г.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240" w:lineRule="auto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b/>
          <w:bCs/>
          <w:color w:val="252621"/>
          <w:sz w:val="24"/>
          <w:szCs w:val="24"/>
          <w:lang w:eastAsia="ru-RU"/>
        </w:rPr>
        <w:t>Консультации по вопросам приема на целевое обучение: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57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8(499) 955-25-20 (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доб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. 199), 8(916) 069-63-06 – Ахматова Елена Дмитриевна, начальник отдела 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профориентационной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 работы и трудоустройства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357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8(499) 955-25-20 (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доб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. 166) – </w:t>
      </w:r>
      <w:proofErr w:type="spellStart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>Успехова</w:t>
      </w:r>
      <w:proofErr w:type="spellEnd"/>
      <w:r w:rsidRPr="00002EAC">
        <w:rPr>
          <w:rFonts w:ascii="Arial" w:eastAsia="Times New Roman" w:hAnsi="Arial" w:cs="Arial"/>
          <w:color w:val="252621"/>
          <w:sz w:val="24"/>
          <w:szCs w:val="24"/>
          <w:lang w:eastAsia="ru-RU"/>
        </w:rPr>
        <w:t xml:space="preserve"> Алла Геннадьевна, помощник проректора по учебной работе</w:t>
      </w:r>
    </w:p>
    <w:p w:rsidR="00002EAC" w:rsidRPr="00002EAC" w:rsidRDefault="00002EAC" w:rsidP="00002EAC">
      <w:pPr>
        <w:shd w:val="clear" w:color="auto" w:fill="F3F3F1"/>
        <w:spacing w:before="120" w:after="120" w:line="240" w:lineRule="auto"/>
        <w:jc w:val="both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b/>
          <w:bCs/>
          <w:color w:val="252621"/>
          <w:sz w:val="24"/>
          <w:szCs w:val="24"/>
          <w:lang w:eastAsia="ru-RU"/>
        </w:rPr>
        <w:t>Нормативно-правовые акты, регулирующие прием на целевое обучение</w:t>
      </w:r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9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Федеральный закон от 29.12.2012 №273-ФЗ «Об образовании в Российской Федерации»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10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13.10.2020 г. №1681 «О целевом </w:t>
        </w:r>
        <w:proofErr w:type="gramStart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обучении по</w:t>
        </w:r>
        <w:proofErr w:type="gramEnd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 образовательным программам среднего профессионального и высшего образования»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11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Типовая форма договора о целевом </w:t>
        </w:r>
        <w:proofErr w:type="gramStart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обучении по</w:t>
        </w:r>
        <w:proofErr w:type="gramEnd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 образовательной программе среднего профессионального или высшего образования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12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Положение о целевом </w:t>
        </w:r>
        <w:proofErr w:type="gramStart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обучении по</w:t>
        </w:r>
        <w:proofErr w:type="gramEnd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 образовательным программам среднего профессионального и высшего образования (с приложениями)</w:t>
        </w:r>
      </w:hyperlink>
    </w:p>
    <w:p w:rsidR="00002EAC" w:rsidRPr="00002EAC" w:rsidRDefault="00002EAC" w:rsidP="00002EAC">
      <w:pPr>
        <w:shd w:val="clear" w:color="auto" w:fill="F3F3F1"/>
        <w:spacing w:before="120" w:after="120" w:line="152" w:lineRule="atLeast"/>
        <w:ind w:left="448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hyperlink r:id="rId13" w:history="1"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Форма согласия законного представителя несовершеннолетнего гражданина на заключение договора о целевом </w:t>
        </w:r>
        <w:proofErr w:type="gramStart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>обучении по</w:t>
        </w:r>
        <w:proofErr w:type="gramEnd"/>
        <w:r w:rsidRPr="00002EAC">
          <w:rPr>
            <w:rFonts w:ascii="Arial" w:eastAsia="Times New Roman" w:hAnsi="Arial" w:cs="Arial"/>
            <w:color w:val="0E470B"/>
            <w:sz w:val="24"/>
            <w:szCs w:val="24"/>
            <w:u w:val="single"/>
            <w:lang w:eastAsia="ru-RU"/>
          </w:rPr>
          <w:t xml:space="preserve"> образовательной программе среднего профессионального или высшего образования</w:t>
        </w:r>
      </w:hyperlink>
    </w:p>
    <w:p w:rsidR="00002EAC" w:rsidRPr="00002EAC" w:rsidRDefault="00002EAC" w:rsidP="00002EAC">
      <w:pPr>
        <w:shd w:val="clear" w:color="auto" w:fill="F3F3F1"/>
        <w:spacing w:before="240" w:after="240" w:line="166" w:lineRule="atLeast"/>
        <w:jc w:val="both"/>
        <w:rPr>
          <w:rFonts w:ascii="Arial" w:eastAsia="Times New Roman" w:hAnsi="Arial" w:cs="Arial"/>
          <w:color w:val="252621"/>
          <w:sz w:val="14"/>
          <w:szCs w:val="14"/>
          <w:lang w:eastAsia="ru-RU"/>
        </w:rPr>
      </w:pPr>
      <w:r w:rsidRPr="00002EAC">
        <w:rPr>
          <w:rFonts w:ascii="Arial" w:eastAsia="Times New Roman" w:hAnsi="Arial" w:cs="Arial"/>
          <w:b/>
          <w:bCs/>
          <w:color w:val="252621"/>
          <w:sz w:val="24"/>
          <w:szCs w:val="24"/>
          <w:lang w:eastAsia="ru-RU"/>
        </w:rPr>
        <w:t> </w:t>
      </w:r>
    </w:p>
    <w:p w:rsidR="00B305E8" w:rsidRDefault="001E37BA">
      <w:r>
        <w:t xml:space="preserve">Сайт  ГГТУ </w:t>
      </w:r>
      <w:hyperlink r:id="rId14" w:history="1">
        <w:r w:rsidRPr="00ED7ADF">
          <w:rPr>
            <w:rStyle w:val="a3"/>
          </w:rPr>
          <w:t>https://ggtu.ru/</w:t>
        </w:r>
      </w:hyperlink>
      <w:r>
        <w:t xml:space="preserve"> </w:t>
      </w:r>
    </w:p>
    <w:sectPr w:rsidR="00B305E8" w:rsidSect="00B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EAC"/>
    <w:rsid w:val="00002EAC"/>
    <w:rsid w:val="001E37BA"/>
    <w:rsid w:val="00B305E8"/>
    <w:rsid w:val="00D87A61"/>
    <w:rsid w:val="00DB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E8"/>
  </w:style>
  <w:style w:type="paragraph" w:styleId="1">
    <w:name w:val="heading 1"/>
    <w:basedOn w:val="a"/>
    <w:link w:val="10"/>
    <w:uiPriority w:val="9"/>
    <w:qFormat/>
    <w:rsid w:val="0000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2E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E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NwT2RoSB8" TargetMode="External"/><Relationship Id="rId13" Type="http://schemas.openxmlformats.org/officeDocument/2006/relationships/hyperlink" Target="https://ggtu.ru/doc_word/abitura/2021/celevik/forma_soglasiy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gtu.ru/doc_word/abitura/2021/vo/3.pdf" TargetMode="External"/><Relationship Id="rId12" Type="http://schemas.openxmlformats.org/officeDocument/2006/relationships/hyperlink" Target="https://ggtu.ru/doc_word/svedeniya/polojeniya/Poloj_celev_obuch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rspektiva@ggtu.ru" TargetMode="External"/><Relationship Id="rId11" Type="http://schemas.openxmlformats.org/officeDocument/2006/relationships/hyperlink" Target="https://ggtu.ru/doc_word/abitura/2021/celevik/tipovaya_forma_dogovora_o_celevom_obuchenii.docx" TargetMode="External"/><Relationship Id="rId5" Type="http://schemas.openxmlformats.org/officeDocument/2006/relationships/hyperlink" Target="https://ggtu.ru/index.php?option=com_content&amp;view=article&amp;id=7121:2018-10-01-06-43-18&amp;catid=210:-2021&amp;Itemid=6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01900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portal.garant.ru:81/SESSION/PILOT/main.htm" TargetMode="External"/><Relationship Id="rId14" Type="http://schemas.openxmlformats.org/officeDocument/2006/relationships/hyperlink" Target="https://g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Company>МБУ ДПО "УМОЦ"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Ноткина</dc:creator>
  <cp:keywords/>
  <dc:description/>
  <cp:lastModifiedBy>Ноткина</cp:lastModifiedBy>
  <cp:revision>3</cp:revision>
  <dcterms:created xsi:type="dcterms:W3CDTF">2021-03-30T09:28:00Z</dcterms:created>
  <dcterms:modified xsi:type="dcterms:W3CDTF">2021-03-30T09:36:00Z</dcterms:modified>
</cp:coreProperties>
</file>